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D5486" w14:textId="77777777" w:rsidR="003B4D61" w:rsidRPr="008A35F6" w:rsidRDefault="003B4D61" w:rsidP="003B4D61">
      <w:pPr>
        <w:jc w:val="both"/>
        <w:rPr>
          <w:rFonts w:ascii="Times New Roman" w:hAnsi="Times New Roman" w:cs="Times New Roman"/>
          <w:b/>
          <w:bCs/>
          <w:sz w:val="36"/>
          <w:szCs w:val="36"/>
          <w:lang w:val="en-US"/>
        </w:rPr>
      </w:pPr>
      <w:bookmarkStart w:id="0" w:name="_GoBack"/>
      <w:bookmarkEnd w:id="0"/>
      <w:r w:rsidRPr="008A35F6">
        <w:rPr>
          <w:rFonts w:ascii="Times New Roman" w:hAnsi="Times New Roman" w:cs="Times New Roman"/>
          <w:b/>
          <w:bCs/>
          <w:sz w:val="36"/>
          <w:szCs w:val="36"/>
          <w:lang w:val="en-US"/>
        </w:rPr>
        <w:t xml:space="preserve">Procurement of </w:t>
      </w:r>
      <w:proofErr w:type="spellStart"/>
      <w:r w:rsidRPr="008A35F6">
        <w:rPr>
          <w:rFonts w:ascii="Times New Roman" w:hAnsi="Times New Roman" w:cs="Times New Roman"/>
          <w:b/>
          <w:bCs/>
          <w:sz w:val="36"/>
          <w:szCs w:val="36"/>
          <w:lang w:val="en-US"/>
        </w:rPr>
        <w:t>Peste</w:t>
      </w:r>
      <w:proofErr w:type="spellEnd"/>
      <w:r w:rsidRPr="008A35F6">
        <w:rPr>
          <w:rFonts w:ascii="Times New Roman" w:hAnsi="Times New Roman" w:cs="Times New Roman"/>
          <w:b/>
          <w:bCs/>
          <w:sz w:val="36"/>
          <w:szCs w:val="36"/>
          <w:lang w:val="en-US"/>
        </w:rPr>
        <w:t xml:space="preserve"> des Petits Ruminants (PPR) Vaccine</w:t>
      </w:r>
    </w:p>
    <w:p w14:paraId="119C3A55" w14:textId="77777777" w:rsidR="008A35F6" w:rsidRDefault="008A35F6" w:rsidP="003B4D61">
      <w:pPr>
        <w:jc w:val="both"/>
        <w:rPr>
          <w:rFonts w:ascii="Times New Roman" w:hAnsi="Times New Roman" w:cs="Times New Roman"/>
          <w:sz w:val="24"/>
          <w:szCs w:val="24"/>
          <w:lang w:val="en-US"/>
        </w:rPr>
      </w:pPr>
    </w:p>
    <w:p w14:paraId="4BCDD941" w14:textId="218F4D7B"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1. Background and Objective</w:t>
      </w:r>
    </w:p>
    <w:p w14:paraId="33147BBD" w14:textId="77777777" w:rsidR="003B4D61" w:rsidRPr="008A35F6" w:rsidRDefault="003B4D61" w:rsidP="003B4D61">
      <w:pPr>
        <w:jc w:val="both"/>
        <w:rPr>
          <w:rFonts w:ascii="Times New Roman" w:hAnsi="Times New Roman" w:cs="Times New Roman"/>
          <w:sz w:val="24"/>
          <w:szCs w:val="24"/>
          <w:lang w:val="en-US"/>
        </w:rPr>
      </w:pPr>
      <w:proofErr w:type="spellStart"/>
      <w:r w:rsidRPr="008A35F6">
        <w:rPr>
          <w:rFonts w:ascii="Times New Roman" w:hAnsi="Times New Roman" w:cs="Times New Roman"/>
          <w:sz w:val="24"/>
          <w:szCs w:val="24"/>
          <w:lang w:val="en-US"/>
        </w:rPr>
        <w:t>Peste</w:t>
      </w:r>
      <w:proofErr w:type="spellEnd"/>
      <w:r w:rsidRPr="008A35F6">
        <w:rPr>
          <w:rFonts w:ascii="Times New Roman" w:hAnsi="Times New Roman" w:cs="Times New Roman"/>
          <w:sz w:val="24"/>
          <w:szCs w:val="24"/>
          <w:lang w:val="en-US"/>
        </w:rPr>
        <w:t xml:space="preserve"> des Petits Ruminants (PPR) is a priority transboundary animal disease with significant impacts on livelihoods, food security, and regional trade. In alignment with national PPR control strategies, regional frameworks, and global eradication objectives, the Procuring Entity intends to procure quality-assured PPR vaccines for use in coordinated mass vaccination campaigns.</w:t>
      </w:r>
    </w:p>
    <w:p w14:paraId="33DBD56E"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This procurement is financed and/or supervised under development-partner standards (e.g. World Bank, African Development Bank, European Union). Accordingly, the procurement emphasizes value for money, risk mitigation, quality assurance, regulatory compliance, and fitness for purpose under field conditions.</w:t>
      </w:r>
    </w:p>
    <w:p w14:paraId="1397B9A6"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objective of this procurement is to obtain safe, efficacious, and quality-assured live attenuated PPR vaccines that comply with AU-PANVAC certification requirements and WOAH-</w:t>
      </w:r>
      <w:proofErr w:type="spellStart"/>
      <w:r w:rsidRPr="008A35F6">
        <w:rPr>
          <w:rFonts w:ascii="Times New Roman" w:hAnsi="Times New Roman" w:cs="Times New Roman"/>
          <w:sz w:val="24"/>
          <w:szCs w:val="24"/>
          <w:lang w:val="en-US"/>
        </w:rPr>
        <w:t>recognised</w:t>
      </w:r>
      <w:proofErr w:type="spellEnd"/>
      <w:r w:rsidRPr="008A35F6">
        <w:rPr>
          <w:rFonts w:ascii="Times New Roman" w:hAnsi="Times New Roman" w:cs="Times New Roman"/>
          <w:sz w:val="24"/>
          <w:szCs w:val="24"/>
          <w:lang w:val="en-US"/>
        </w:rPr>
        <w:t xml:space="preserve"> international standards, ensuring effective and sustainable disease control outcomes.</w:t>
      </w:r>
    </w:p>
    <w:p w14:paraId="7C4F24AC" w14:textId="7777777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2. Scope of Supply</w:t>
      </w:r>
    </w:p>
    <w:p w14:paraId="033EDD50"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successful bidder shall supply:</w:t>
      </w:r>
    </w:p>
    <w:p w14:paraId="5E67B1CB" w14:textId="77777777" w:rsid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Live attenuated PPR vaccine (freeze-dried / </w:t>
      </w:r>
      <w:proofErr w:type="spellStart"/>
      <w:r w:rsidRPr="008A35F6">
        <w:rPr>
          <w:rFonts w:ascii="Times New Roman" w:hAnsi="Times New Roman" w:cs="Times New Roman"/>
          <w:sz w:val="24"/>
          <w:szCs w:val="24"/>
          <w:lang w:val="en-US"/>
        </w:rPr>
        <w:t>lyophilised</w:t>
      </w:r>
      <w:proofErr w:type="spellEnd"/>
      <w:r w:rsidRPr="008A35F6">
        <w:rPr>
          <w:rFonts w:ascii="Times New Roman" w:hAnsi="Times New Roman" w:cs="Times New Roman"/>
          <w:sz w:val="24"/>
          <w:szCs w:val="24"/>
          <w:lang w:val="en-US"/>
        </w:rPr>
        <w:t>) with matching diluent</w:t>
      </w:r>
    </w:p>
    <w:p w14:paraId="05A5EC85" w14:textId="77777777" w:rsid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Vaccine doses in the quantities specified in the Financial Schedule</w:t>
      </w:r>
    </w:p>
    <w:p w14:paraId="6F1747C1" w14:textId="77777777" w:rsid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Required quality, regulatory, and batch documentation</w:t>
      </w:r>
    </w:p>
    <w:p w14:paraId="236101BA" w14:textId="77777777" w:rsid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Cold-chain compliant delivery to the designated point(s)</w:t>
      </w:r>
    </w:p>
    <w:p w14:paraId="0C737AD8" w14:textId="76AB441D" w:rsidR="003B4D61" w:rsidRP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Optional ancillary supplies if specified in the ITB (e.g. data loggers, cold boxes)</w:t>
      </w:r>
    </w:p>
    <w:p w14:paraId="37C4D8BE" w14:textId="7777777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 Mandatory Vaccine Product Specifications</w:t>
      </w:r>
    </w:p>
    <w:p w14:paraId="15BBCE2A" w14:textId="7777777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3.1 Vaccine Type and Strain</w:t>
      </w:r>
    </w:p>
    <w:p w14:paraId="40B52772" w14:textId="77777777" w:rsidR="008A35F6" w:rsidRDefault="003B4D61" w:rsidP="003B4D61">
      <w:pPr>
        <w:pStyle w:val="ListParagraph"/>
        <w:numPr>
          <w:ilvl w:val="0"/>
          <w:numId w:val="1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Live attenuated PPR vaccine for use in sheep and goats.</w:t>
      </w:r>
    </w:p>
    <w:p w14:paraId="2A190E73" w14:textId="77777777" w:rsidR="008A35F6" w:rsidRDefault="003B4D61" w:rsidP="003B4D61">
      <w:pPr>
        <w:pStyle w:val="ListParagraph"/>
        <w:numPr>
          <w:ilvl w:val="0"/>
          <w:numId w:val="1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Accepted strains include Nigeria 75/1</w:t>
      </w:r>
      <w:r w:rsidR="0096115B" w:rsidRPr="008A35F6">
        <w:rPr>
          <w:rFonts w:ascii="Times New Roman" w:hAnsi="Times New Roman" w:cs="Times New Roman"/>
          <w:sz w:val="24"/>
          <w:szCs w:val="24"/>
          <w:lang w:val="en-US"/>
        </w:rPr>
        <w:t xml:space="preserve"> </w:t>
      </w:r>
      <w:r w:rsidR="0096115B" w:rsidRPr="008A35F6">
        <w:rPr>
          <w:rFonts w:ascii="Times New Roman" w:hAnsi="Times New Roman" w:cs="Times New Roman"/>
          <w:b/>
          <w:sz w:val="24"/>
          <w:szCs w:val="24"/>
          <w:highlight w:val="yellow"/>
          <w:lang w:val="en-US"/>
        </w:rPr>
        <w:t>which is the African strain widely used</w:t>
      </w:r>
      <w:r w:rsidRPr="008A35F6">
        <w:rPr>
          <w:rFonts w:ascii="Times New Roman" w:hAnsi="Times New Roman" w:cs="Times New Roman"/>
          <w:b/>
          <w:sz w:val="24"/>
          <w:szCs w:val="24"/>
          <w:highlight w:val="yellow"/>
          <w:lang w:val="en-US"/>
        </w:rPr>
        <w:t>.</w:t>
      </w:r>
    </w:p>
    <w:p w14:paraId="1A99A2D7" w14:textId="0FD99AEC" w:rsidR="003B4D61" w:rsidRPr="008A35F6" w:rsidRDefault="003B4D61" w:rsidP="003B4D61">
      <w:pPr>
        <w:pStyle w:val="ListParagraph"/>
        <w:numPr>
          <w:ilvl w:val="0"/>
          <w:numId w:val="1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bidder shall clearly state the vaccine strain used.</w:t>
      </w:r>
    </w:p>
    <w:p w14:paraId="6B62FBDF" w14:textId="77777777" w:rsidR="008A35F6" w:rsidRPr="008A35F6" w:rsidRDefault="008A35F6" w:rsidP="003B4D61">
      <w:pPr>
        <w:jc w:val="both"/>
        <w:rPr>
          <w:rFonts w:ascii="Times New Roman" w:hAnsi="Times New Roman" w:cs="Times New Roman"/>
          <w:b/>
          <w:bCs/>
          <w:sz w:val="8"/>
          <w:szCs w:val="8"/>
          <w:lang w:val="en-US"/>
        </w:rPr>
      </w:pPr>
    </w:p>
    <w:p w14:paraId="1308DC5D" w14:textId="1E4C2CE4"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3.2 Formulation and Presentation</w:t>
      </w:r>
    </w:p>
    <w:p w14:paraId="01E2769B" w14:textId="77777777" w:rsidR="008A35F6" w:rsidRDefault="003B4D61" w:rsidP="003B4D61">
      <w:pPr>
        <w:pStyle w:val="ListParagraph"/>
        <w:numPr>
          <w:ilvl w:val="0"/>
          <w:numId w:val="1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Freeze-dried (</w:t>
      </w:r>
      <w:proofErr w:type="spellStart"/>
      <w:r w:rsidRPr="008A35F6">
        <w:rPr>
          <w:rFonts w:ascii="Times New Roman" w:hAnsi="Times New Roman" w:cs="Times New Roman"/>
          <w:sz w:val="24"/>
          <w:szCs w:val="24"/>
          <w:lang w:val="en-US"/>
        </w:rPr>
        <w:t>lyophilised</w:t>
      </w:r>
      <w:proofErr w:type="spellEnd"/>
      <w:r w:rsidRPr="008A35F6">
        <w:rPr>
          <w:rFonts w:ascii="Times New Roman" w:hAnsi="Times New Roman" w:cs="Times New Roman"/>
          <w:sz w:val="24"/>
          <w:szCs w:val="24"/>
          <w:lang w:val="en-US"/>
        </w:rPr>
        <w:t>) vaccine supplied in sterile glass vials.</w:t>
      </w:r>
    </w:p>
    <w:p w14:paraId="35D17845" w14:textId="77777777" w:rsidR="008A35F6" w:rsidRDefault="003B4D61" w:rsidP="003B4D61">
      <w:pPr>
        <w:pStyle w:val="ListParagraph"/>
        <w:numPr>
          <w:ilvl w:val="0"/>
          <w:numId w:val="1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Separate sterile diluent must be supplied in matching volumes.</w:t>
      </w:r>
    </w:p>
    <w:p w14:paraId="5023BD27" w14:textId="2A7DC3E9" w:rsidR="003B4D61" w:rsidRPr="008A35F6" w:rsidRDefault="003B4D61" w:rsidP="003B4D61">
      <w:pPr>
        <w:pStyle w:val="ListParagraph"/>
        <w:numPr>
          <w:ilvl w:val="0"/>
          <w:numId w:val="1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Vaccine vial presentation shall be clearly stated (e.g. 25-dose, 50-dose, or 100-dose vials).</w:t>
      </w:r>
    </w:p>
    <w:p w14:paraId="7C5E07A0" w14:textId="5D2120C6" w:rsidR="00986201" w:rsidRPr="008A35F6" w:rsidRDefault="008A35F6" w:rsidP="0098620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 xml:space="preserve">3.3. </w:t>
      </w:r>
      <w:r w:rsidR="00986201" w:rsidRPr="008A35F6">
        <w:rPr>
          <w:rFonts w:ascii="Times New Roman" w:hAnsi="Times New Roman" w:cs="Times New Roman"/>
          <w:b/>
          <w:bCs/>
          <w:sz w:val="24"/>
          <w:szCs w:val="24"/>
          <w:lang w:val="en-US"/>
        </w:rPr>
        <w:t>Sterility and purity</w:t>
      </w:r>
    </w:p>
    <w:p w14:paraId="7C677848" w14:textId="3E55B8B8" w:rsidR="00986201" w:rsidRPr="008A35F6" w:rsidRDefault="00986201" w:rsidP="0098620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batch must be tested and proven not to be contaminated by bacteria, fungus,</w:t>
      </w:r>
      <w:r w:rsidR="008A35F6">
        <w:rPr>
          <w:rFonts w:ascii="Times New Roman" w:hAnsi="Times New Roman" w:cs="Times New Roman"/>
          <w:sz w:val="24"/>
          <w:szCs w:val="24"/>
          <w:lang w:val="en-US"/>
        </w:rPr>
        <w:t xml:space="preserve"> </w:t>
      </w:r>
      <w:r w:rsidRPr="008A35F6">
        <w:rPr>
          <w:rFonts w:ascii="Times New Roman" w:hAnsi="Times New Roman" w:cs="Times New Roman"/>
          <w:sz w:val="24"/>
          <w:szCs w:val="24"/>
          <w:lang w:val="en-US"/>
        </w:rPr>
        <w:t>mycoplasma or other viruses (</w:t>
      </w:r>
      <w:proofErr w:type="spellStart"/>
      <w:r w:rsidRPr="008A35F6">
        <w:rPr>
          <w:rFonts w:ascii="Times New Roman" w:hAnsi="Times New Roman" w:cs="Times New Roman"/>
          <w:sz w:val="24"/>
          <w:szCs w:val="24"/>
          <w:lang w:val="en-US"/>
        </w:rPr>
        <w:t>Pestiviruses</w:t>
      </w:r>
      <w:proofErr w:type="spellEnd"/>
      <w:r w:rsidRPr="008A35F6">
        <w:rPr>
          <w:rFonts w:ascii="Times New Roman" w:hAnsi="Times New Roman" w:cs="Times New Roman"/>
          <w:sz w:val="24"/>
          <w:szCs w:val="24"/>
          <w:lang w:val="en-US"/>
        </w:rPr>
        <w:t>, FMD, SHEEP &amp;GOATPOX, BTV</w:t>
      </w:r>
      <w:r w:rsidR="00240CA6" w:rsidRPr="008A35F6">
        <w:rPr>
          <w:rFonts w:ascii="Times New Roman" w:hAnsi="Times New Roman" w:cs="Times New Roman"/>
          <w:sz w:val="24"/>
          <w:szCs w:val="24"/>
          <w:lang w:val="en-US"/>
        </w:rPr>
        <w:t>, RSV, RABIES, mycobacterium</w:t>
      </w:r>
      <w:r w:rsidRPr="008A35F6">
        <w:rPr>
          <w:rFonts w:ascii="Times New Roman" w:hAnsi="Times New Roman" w:cs="Times New Roman"/>
          <w:sz w:val="24"/>
          <w:szCs w:val="24"/>
          <w:lang w:val="en-US"/>
        </w:rPr>
        <w:t>)</w:t>
      </w:r>
      <w:r w:rsidR="00240CA6" w:rsidRPr="008A35F6">
        <w:rPr>
          <w:rFonts w:ascii="Times New Roman" w:hAnsi="Times New Roman" w:cs="Times New Roman"/>
          <w:sz w:val="24"/>
          <w:szCs w:val="24"/>
          <w:lang w:val="en-US"/>
        </w:rPr>
        <w:t>.</w:t>
      </w:r>
    </w:p>
    <w:p w14:paraId="061C5085" w14:textId="7777777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lastRenderedPageBreak/>
        <w:t>3.3 Potency</w:t>
      </w:r>
    </w:p>
    <w:p w14:paraId="5AFB6066" w14:textId="77777777" w:rsidR="008A35F6" w:rsidRDefault="003B4D61" w:rsidP="003B4D61">
      <w:pPr>
        <w:pStyle w:val="ListParagraph"/>
        <w:numPr>
          <w:ilvl w:val="0"/>
          <w:numId w:val="1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Each dose shall meet the minimum protective potency as defined by internationally accepted standards.</w:t>
      </w:r>
    </w:p>
    <w:p w14:paraId="18E45DD0" w14:textId="77777777" w:rsidR="008A35F6" w:rsidRDefault="003B4D61" w:rsidP="003B4D61">
      <w:pPr>
        <w:pStyle w:val="ListParagraph"/>
        <w:numPr>
          <w:ilvl w:val="0"/>
          <w:numId w:val="1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Potency shall be expressed numerically (e.g. TCID50 per dose or equivalent) and supported by a Certificate of Analysis (CoA).</w:t>
      </w:r>
    </w:p>
    <w:p w14:paraId="35CE768C" w14:textId="77777777" w:rsidR="0035431B" w:rsidRDefault="003B4D61" w:rsidP="003B4D61">
      <w:pPr>
        <w:pStyle w:val="ListParagraph"/>
        <w:numPr>
          <w:ilvl w:val="0"/>
          <w:numId w:val="1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assay method used for potency determination shall be specified.</w:t>
      </w:r>
    </w:p>
    <w:p w14:paraId="7762A1AB" w14:textId="6E56F883" w:rsidR="003B4D61" w:rsidRPr="0035431B" w:rsidRDefault="0035431B" w:rsidP="0035431B">
      <w:pPr>
        <w:jc w:val="both"/>
        <w:rPr>
          <w:rFonts w:ascii="Times New Roman" w:hAnsi="Times New Roman" w:cs="Times New Roman"/>
          <w:sz w:val="24"/>
          <w:szCs w:val="24"/>
          <w:lang w:val="en-US"/>
        </w:rPr>
      </w:pPr>
      <w:r>
        <w:rPr>
          <w:rFonts w:ascii="Times New Roman" w:hAnsi="Times New Roman" w:cs="Times New Roman"/>
          <w:b/>
          <w:bCs/>
          <w:sz w:val="24"/>
          <w:szCs w:val="24"/>
          <w:lang w:val="en-US"/>
        </w:rPr>
        <w:br/>
      </w:r>
      <w:r w:rsidR="003B4D61" w:rsidRPr="0035431B">
        <w:rPr>
          <w:rFonts w:ascii="Times New Roman" w:hAnsi="Times New Roman" w:cs="Times New Roman"/>
          <w:b/>
          <w:bCs/>
          <w:sz w:val="24"/>
          <w:szCs w:val="24"/>
          <w:lang w:val="en-US"/>
        </w:rPr>
        <w:t>3.4 Safety</w:t>
      </w:r>
    </w:p>
    <w:p w14:paraId="34741B25" w14:textId="77777777" w:rsidR="008A35F6" w:rsidRDefault="003B4D61" w:rsidP="003B4D61">
      <w:pPr>
        <w:pStyle w:val="ListParagraph"/>
        <w:numPr>
          <w:ilvl w:val="0"/>
          <w:numId w:val="2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vaccine must be safe for use in sheep and goats of all ages.</w:t>
      </w:r>
    </w:p>
    <w:p w14:paraId="2B765C7B" w14:textId="77777777" w:rsidR="008A35F6" w:rsidRDefault="003B4D61" w:rsidP="003B4D61">
      <w:pPr>
        <w:pStyle w:val="ListParagraph"/>
        <w:numPr>
          <w:ilvl w:val="0"/>
          <w:numId w:val="2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bidder shall provide a summary of vaccine safety data and adverse event history.</w:t>
      </w:r>
    </w:p>
    <w:p w14:paraId="60CC7113" w14:textId="55BC14CA" w:rsidR="003B4D61" w:rsidRPr="008A35F6" w:rsidRDefault="003B4D61" w:rsidP="003B4D61">
      <w:pPr>
        <w:pStyle w:val="ListParagraph"/>
        <w:numPr>
          <w:ilvl w:val="0"/>
          <w:numId w:val="2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Withdrawal period for meat and milk shall be clearly stated (preferably zero).</w:t>
      </w:r>
    </w:p>
    <w:p w14:paraId="3CCF4F78" w14:textId="77777777" w:rsidR="008A35F6" w:rsidRPr="008A35F6" w:rsidRDefault="008A35F6" w:rsidP="003B4D61">
      <w:pPr>
        <w:jc w:val="both"/>
        <w:rPr>
          <w:rFonts w:ascii="Times New Roman" w:hAnsi="Times New Roman" w:cs="Times New Roman"/>
          <w:b/>
          <w:bCs/>
          <w:sz w:val="8"/>
          <w:szCs w:val="8"/>
          <w:lang w:val="en-US"/>
        </w:rPr>
      </w:pPr>
    </w:p>
    <w:p w14:paraId="1E1AD8C5" w14:textId="76C69F04"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3.5 Storage and Stability</w:t>
      </w:r>
    </w:p>
    <w:p w14:paraId="1001DE5F" w14:textId="77777777" w:rsidR="008A35F6" w:rsidRDefault="003B4D61" w:rsidP="003B4D61">
      <w:pPr>
        <w:pStyle w:val="ListParagraph"/>
        <w:numPr>
          <w:ilvl w:val="0"/>
          <w:numId w:val="21"/>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Standard storage conditions: +2°C to +8°C.</w:t>
      </w:r>
    </w:p>
    <w:p w14:paraId="6848D80C" w14:textId="77777777" w:rsidR="008A35F6" w:rsidRDefault="003B4D61" w:rsidP="003B4D61">
      <w:pPr>
        <w:pStyle w:val="ListParagraph"/>
        <w:numPr>
          <w:ilvl w:val="0"/>
          <w:numId w:val="21"/>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Shelf life under recommended storage conditions shall be stated.</w:t>
      </w:r>
    </w:p>
    <w:p w14:paraId="11AA0E0A" w14:textId="625815CA" w:rsidR="003B4D61" w:rsidRPr="008A35F6" w:rsidRDefault="003B4D61" w:rsidP="003B4D61">
      <w:pPr>
        <w:pStyle w:val="ListParagraph"/>
        <w:numPr>
          <w:ilvl w:val="0"/>
          <w:numId w:val="21"/>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Where thermotolerant formulations are offered, validated stability data demonstrating retained potency at elevated temperatures shall be provided.</w:t>
      </w:r>
    </w:p>
    <w:p w14:paraId="6FDC17DB" w14:textId="77777777" w:rsidR="008A35F6" w:rsidRPr="008A35F6" w:rsidRDefault="008A35F6" w:rsidP="003B4D61">
      <w:pPr>
        <w:jc w:val="both"/>
        <w:rPr>
          <w:rFonts w:ascii="Times New Roman" w:hAnsi="Times New Roman" w:cs="Times New Roman"/>
          <w:b/>
          <w:bCs/>
          <w:sz w:val="6"/>
          <w:szCs w:val="6"/>
          <w:lang w:val="en-US"/>
        </w:rPr>
      </w:pPr>
    </w:p>
    <w:p w14:paraId="43E9480F" w14:textId="4D953341"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3.6 Dosage and Administration</w:t>
      </w:r>
    </w:p>
    <w:p w14:paraId="6D1D1EF4" w14:textId="77777777" w:rsidR="008A35F6" w:rsidRDefault="003B4D61" w:rsidP="003B4D61">
      <w:pPr>
        <w:pStyle w:val="ListParagraph"/>
        <w:numPr>
          <w:ilvl w:val="0"/>
          <w:numId w:val="22"/>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Recommended dose volume per animal shall be stated.</w:t>
      </w:r>
    </w:p>
    <w:p w14:paraId="24F5325C" w14:textId="77777777" w:rsidR="008A35F6" w:rsidRDefault="003B4D61" w:rsidP="003B4D61">
      <w:pPr>
        <w:pStyle w:val="ListParagraph"/>
        <w:numPr>
          <w:ilvl w:val="0"/>
          <w:numId w:val="22"/>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Route of administration (e.g. subcutaneous) shall be specified.</w:t>
      </w:r>
    </w:p>
    <w:p w14:paraId="4EC1264F" w14:textId="74FCE54A" w:rsidR="003B4D61" w:rsidRPr="008A35F6" w:rsidRDefault="003B4D61" w:rsidP="003B4D61">
      <w:pPr>
        <w:pStyle w:val="ListParagraph"/>
        <w:numPr>
          <w:ilvl w:val="0"/>
          <w:numId w:val="22"/>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Stability after reconstitution and maximum usable time shall be stated.</w:t>
      </w:r>
    </w:p>
    <w:p w14:paraId="657B4AFA" w14:textId="1988B79F" w:rsidR="003B4D61" w:rsidRPr="008A35F6" w:rsidRDefault="0035431B" w:rsidP="003B4D61">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r>
      <w:r w:rsidR="003B4D61" w:rsidRPr="008A35F6">
        <w:rPr>
          <w:rFonts w:ascii="Times New Roman" w:hAnsi="Times New Roman" w:cs="Times New Roman"/>
          <w:b/>
          <w:bCs/>
          <w:sz w:val="24"/>
          <w:szCs w:val="24"/>
          <w:lang w:val="en-US"/>
        </w:rPr>
        <w:t>4. Quality Assurance and Regulatory Requirements (Mandatory)</w:t>
      </w:r>
    </w:p>
    <w:p w14:paraId="45F83D99" w14:textId="77777777" w:rsidR="003B4D61" w:rsidRPr="008A35F6" w:rsidRDefault="003B4D61" w:rsidP="008A35F6">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Compliance with this section is a pre-condition for technical responsiveness. Failure to meet any mandatory requirement may result in rejection of the bid at the technical evaluation stage.</w:t>
      </w:r>
    </w:p>
    <w:p w14:paraId="5F5FFC2F"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Bidders must submit the following documentation with their technical offer:</w:t>
      </w:r>
    </w:p>
    <w:p w14:paraId="1A01095A"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AU-PANVAC Batch Certification</w:t>
      </w:r>
    </w:p>
    <w:p w14:paraId="2A6AFE82" w14:textId="16173D14"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Each vaccine batch supplied shall be accompanied by a valid AU-PANVAC batch certificate or equivalent batch release certificate issued by a </w:t>
      </w:r>
      <w:r w:rsidR="008A35F6" w:rsidRPr="008A35F6">
        <w:rPr>
          <w:rFonts w:ascii="Times New Roman" w:hAnsi="Times New Roman" w:cs="Times New Roman"/>
          <w:sz w:val="24"/>
          <w:szCs w:val="24"/>
          <w:lang w:val="en-US"/>
        </w:rPr>
        <w:t>recognized</w:t>
      </w:r>
      <w:r w:rsidRPr="008A35F6">
        <w:rPr>
          <w:rFonts w:ascii="Times New Roman" w:hAnsi="Times New Roman" w:cs="Times New Roman"/>
          <w:sz w:val="24"/>
          <w:szCs w:val="24"/>
          <w:lang w:val="en-US"/>
        </w:rPr>
        <w:t xml:space="preserve"> and internationally accepted authority.</w:t>
      </w:r>
    </w:p>
    <w:p w14:paraId="11DA0AED" w14:textId="77777777" w:rsidR="008A35F6" w:rsidRPr="0035431B" w:rsidRDefault="008A35F6" w:rsidP="008A35F6">
      <w:pPr>
        <w:pStyle w:val="ListParagraph"/>
        <w:jc w:val="both"/>
        <w:rPr>
          <w:rFonts w:ascii="Times New Roman" w:hAnsi="Times New Roman" w:cs="Times New Roman"/>
          <w:bCs/>
          <w:i/>
          <w:sz w:val="8"/>
          <w:szCs w:val="8"/>
          <w:u w:val="single"/>
          <w:lang w:val="en-US"/>
        </w:rPr>
      </w:pPr>
    </w:p>
    <w:p w14:paraId="1733BED2" w14:textId="77777777" w:rsidR="008A35F6" w:rsidRDefault="003B4D61" w:rsidP="003B4D61">
      <w:pPr>
        <w:pStyle w:val="ListParagraph"/>
        <w:numPr>
          <w:ilvl w:val="0"/>
          <w:numId w:val="24"/>
        </w:numPr>
        <w:jc w:val="both"/>
        <w:rPr>
          <w:rFonts w:ascii="Times New Roman" w:hAnsi="Times New Roman" w:cs="Times New Roman"/>
          <w:i/>
          <w:sz w:val="24"/>
          <w:szCs w:val="24"/>
          <w:u w:val="single"/>
          <w:lang w:val="en-US"/>
        </w:rPr>
      </w:pPr>
      <w:r w:rsidRPr="008A35F6">
        <w:rPr>
          <w:rFonts w:ascii="Times New Roman" w:hAnsi="Times New Roman" w:cs="Times New Roman"/>
          <w:bCs/>
          <w:i/>
          <w:sz w:val="24"/>
          <w:szCs w:val="24"/>
          <w:u w:val="single"/>
          <w:lang w:val="en-US"/>
        </w:rPr>
        <w:t>Good Manufacturing Practice (GMP</w:t>
      </w:r>
      <w:r w:rsidRPr="008A35F6">
        <w:rPr>
          <w:rFonts w:ascii="Times New Roman" w:hAnsi="Times New Roman" w:cs="Times New Roman"/>
          <w:i/>
          <w:sz w:val="24"/>
          <w:szCs w:val="24"/>
          <w:u w:val="single"/>
          <w:lang w:val="en-US"/>
        </w:rPr>
        <w:t>)</w:t>
      </w:r>
    </w:p>
    <w:p w14:paraId="0B872E31" w14:textId="6EDCDB6A"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A valid GMP certificate for the manufacturing facility issued by a </w:t>
      </w:r>
      <w:r w:rsidR="008A35F6" w:rsidRPr="008A35F6">
        <w:rPr>
          <w:rFonts w:ascii="Times New Roman" w:hAnsi="Times New Roman" w:cs="Times New Roman"/>
          <w:sz w:val="24"/>
          <w:szCs w:val="24"/>
          <w:lang w:val="en-US"/>
        </w:rPr>
        <w:t>recognized</w:t>
      </w:r>
      <w:r w:rsidRPr="008A35F6">
        <w:rPr>
          <w:rFonts w:ascii="Times New Roman" w:hAnsi="Times New Roman" w:cs="Times New Roman"/>
          <w:sz w:val="24"/>
          <w:szCs w:val="24"/>
          <w:lang w:val="en-US"/>
        </w:rPr>
        <w:t xml:space="preserve"> regulatory authority. The Procuring Entity reserves the right to verify GMP status during evaluation.</w:t>
      </w:r>
    </w:p>
    <w:p w14:paraId="29DA6BB8" w14:textId="77777777" w:rsidR="008A35F6" w:rsidRPr="0035431B" w:rsidRDefault="008A35F6" w:rsidP="008A35F6">
      <w:pPr>
        <w:pStyle w:val="ListParagraph"/>
        <w:jc w:val="both"/>
        <w:rPr>
          <w:rFonts w:ascii="Times New Roman" w:hAnsi="Times New Roman" w:cs="Times New Roman"/>
          <w:i/>
          <w:sz w:val="8"/>
          <w:szCs w:val="8"/>
          <w:u w:val="single"/>
          <w:lang w:val="en-US"/>
        </w:rPr>
      </w:pPr>
    </w:p>
    <w:p w14:paraId="50B174B9"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Certificate of Analysis (CoA)</w:t>
      </w:r>
    </w:p>
    <w:p w14:paraId="182E860D" w14:textId="4A383277"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 batch-specific CoA demonstrating compliance with potency, sterility, identity, purity, and absence of extraneous agents.</w:t>
      </w:r>
    </w:p>
    <w:p w14:paraId="68F4E535" w14:textId="160A0443" w:rsidR="0035431B" w:rsidRDefault="0035431B" w:rsidP="008A35F6">
      <w:pPr>
        <w:pStyle w:val="ListParagraph"/>
        <w:jc w:val="both"/>
        <w:rPr>
          <w:rFonts w:ascii="Times New Roman" w:hAnsi="Times New Roman" w:cs="Times New Roman"/>
          <w:sz w:val="24"/>
          <w:szCs w:val="24"/>
          <w:lang w:val="en-US"/>
        </w:rPr>
      </w:pPr>
    </w:p>
    <w:p w14:paraId="1952484C" w14:textId="77777777" w:rsidR="0035431B" w:rsidRDefault="0035431B" w:rsidP="008A35F6">
      <w:pPr>
        <w:pStyle w:val="ListParagraph"/>
        <w:jc w:val="both"/>
        <w:rPr>
          <w:rFonts w:ascii="Times New Roman" w:hAnsi="Times New Roman" w:cs="Times New Roman"/>
          <w:sz w:val="24"/>
          <w:szCs w:val="24"/>
          <w:lang w:val="en-US"/>
        </w:rPr>
      </w:pPr>
    </w:p>
    <w:p w14:paraId="6ADA0D2C" w14:textId="77777777" w:rsidR="0035431B" w:rsidRPr="0035431B" w:rsidRDefault="0035431B" w:rsidP="008A35F6">
      <w:pPr>
        <w:pStyle w:val="ListParagraph"/>
        <w:jc w:val="both"/>
        <w:rPr>
          <w:rFonts w:ascii="Times New Roman" w:hAnsi="Times New Roman" w:cs="Times New Roman"/>
          <w:bCs/>
          <w:i/>
          <w:sz w:val="8"/>
          <w:szCs w:val="8"/>
          <w:u w:val="single"/>
          <w:lang w:val="en-US"/>
        </w:rPr>
      </w:pPr>
    </w:p>
    <w:p w14:paraId="553B8022"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lastRenderedPageBreak/>
        <w:t>Stability and Shelf-Life Data</w:t>
      </w:r>
    </w:p>
    <w:p w14:paraId="6F628D73" w14:textId="0D6407F3"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Summary reports of real-time and accelerated stability studies supporting the declared shelf life under recommended storage conditions.</w:t>
      </w:r>
    </w:p>
    <w:p w14:paraId="5191B710" w14:textId="77777777" w:rsidR="008A35F6" w:rsidRPr="0035431B" w:rsidRDefault="008A35F6" w:rsidP="008A35F6">
      <w:pPr>
        <w:pStyle w:val="ListParagraph"/>
        <w:jc w:val="both"/>
        <w:rPr>
          <w:rFonts w:ascii="Times New Roman" w:hAnsi="Times New Roman" w:cs="Times New Roman"/>
          <w:bCs/>
          <w:i/>
          <w:sz w:val="8"/>
          <w:szCs w:val="8"/>
          <w:u w:val="single"/>
          <w:lang w:val="en-US"/>
        </w:rPr>
      </w:pPr>
    </w:p>
    <w:p w14:paraId="58713130"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Seed Virus System</w:t>
      </w:r>
    </w:p>
    <w:p w14:paraId="5A611ED4" w14:textId="666FC7E8"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Summary documentation describing the master and working seed virus systems, including confirmation of genetic and phenotypic stability.</w:t>
      </w:r>
    </w:p>
    <w:p w14:paraId="69550E82" w14:textId="77777777" w:rsidR="008A35F6" w:rsidRPr="0035431B" w:rsidRDefault="008A35F6" w:rsidP="008A35F6">
      <w:pPr>
        <w:pStyle w:val="ListParagraph"/>
        <w:jc w:val="both"/>
        <w:rPr>
          <w:rFonts w:ascii="Times New Roman" w:hAnsi="Times New Roman" w:cs="Times New Roman"/>
          <w:bCs/>
          <w:i/>
          <w:sz w:val="8"/>
          <w:szCs w:val="8"/>
          <w:u w:val="single"/>
          <w:lang w:val="en-US"/>
        </w:rPr>
      </w:pPr>
    </w:p>
    <w:p w14:paraId="1AFE760A"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Regulatory Status</w:t>
      </w:r>
    </w:p>
    <w:p w14:paraId="258B33BE" w14:textId="1E7DB9B1"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Evidence of registration with a National Regulatory Authority (NRA) or justification and supporting documentation for emergency or special import </w:t>
      </w:r>
      <w:r w:rsidR="008A35F6" w:rsidRPr="008A35F6">
        <w:rPr>
          <w:rFonts w:ascii="Times New Roman" w:hAnsi="Times New Roman" w:cs="Times New Roman"/>
          <w:sz w:val="24"/>
          <w:szCs w:val="24"/>
          <w:lang w:val="en-US"/>
        </w:rPr>
        <w:t>authorization</w:t>
      </w:r>
      <w:r w:rsidRPr="008A35F6">
        <w:rPr>
          <w:rFonts w:ascii="Times New Roman" w:hAnsi="Times New Roman" w:cs="Times New Roman"/>
          <w:sz w:val="24"/>
          <w:szCs w:val="24"/>
          <w:lang w:val="en-US"/>
        </w:rPr>
        <w:t>.</w:t>
      </w:r>
    </w:p>
    <w:p w14:paraId="7173558B" w14:textId="77777777" w:rsidR="008A35F6" w:rsidRPr="0035431B" w:rsidRDefault="008A35F6" w:rsidP="008A35F6">
      <w:pPr>
        <w:pStyle w:val="ListParagraph"/>
        <w:jc w:val="both"/>
        <w:rPr>
          <w:rFonts w:ascii="Times New Roman" w:hAnsi="Times New Roman" w:cs="Times New Roman"/>
          <w:bCs/>
          <w:i/>
          <w:sz w:val="8"/>
          <w:szCs w:val="8"/>
          <w:u w:val="single"/>
          <w:lang w:val="en-US"/>
        </w:rPr>
      </w:pPr>
    </w:p>
    <w:p w14:paraId="540EE696" w14:textId="77777777" w:rsidR="008A35F6" w:rsidRDefault="003B4D61" w:rsidP="008A35F6">
      <w:pPr>
        <w:pStyle w:val="ListParagraph"/>
        <w:numPr>
          <w:ilvl w:val="0"/>
          <w:numId w:val="24"/>
        </w:numPr>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Pharmacovigilance and Recall</w:t>
      </w:r>
    </w:p>
    <w:p w14:paraId="6210615A" w14:textId="0E0E4237" w:rsidR="003B4D61" w:rsidRPr="008A35F6" w:rsidRDefault="003B4D61" w:rsidP="008A35F6">
      <w:pPr>
        <w:pStyle w:val="ListParagraph"/>
        <w:rPr>
          <w:rFonts w:ascii="Times New Roman" w:hAnsi="Times New Roman" w:cs="Times New Roman"/>
          <w:bCs/>
          <w:i/>
          <w:sz w:val="24"/>
          <w:szCs w:val="24"/>
          <w:u w:val="single"/>
          <w:lang w:val="en-US"/>
        </w:rPr>
      </w:pPr>
      <w:r w:rsidRPr="008A35F6">
        <w:rPr>
          <w:rFonts w:ascii="Times New Roman" w:hAnsi="Times New Roman" w:cs="Times New Roman"/>
          <w:sz w:val="24"/>
          <w:szCs w:val="24"/>
          <w:lang w:val="en-US"/>
        </w:rPr>
        <w:t>Description of the manufacturer’s pharmacovigilance system, adverse event reporting procedures, and batch recall mechanisms.</w:t>
      </w:r>
    </w:p>
    <w:p w14:paraId="52D2D639" w14:textId="4F391546" w:rsidR="003B4D61" w:rsidRPr="008A35F6" w:rsidRDefault="0035431B" w:rsidP="003B4D61">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r>
      <w:r w:rsidR="003B4D61" w:rsidRPr="008A35F6">
        <w:rPr>
          <w:rFonts w:ascii="Times New Roman" w:hAnsi="Times New Roman" w:cs="Times New Roman"/>
          <w:b/>
          <w:bCs/>
          <w:sz w:val="24"/>
          <w:szCs w:val="24"/>
          <w:lang w:val="en-US"/>
        </w:rPr>
        <w:t>5. Packaging, Labelling, and Cold Chain</w:t>
      </w:r>
    </w:p>
    <w:p w14:paraId="7D7135CD" w14:textId="77777777" w:rsidR="003B4D61" w:rsidRPr="008A35F6" w:rsidRDefault="003B4D61" w:rsidP="003B4D61">
      <w:p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5.1 Packaging</w:t>
      </w:r>
    </w:p>
    <w:p w14:paraId="75E6AA36" w14:textId="77777777" w:rsidR="008A35F6" w:rsidRDefault="003B4D61" w:rsidP="003B4D61">
      <w:pPr>
        <w:pStyle w:val="ListParagraph"/>
        <w:numPr>
          <w:ilvl w:val="0"/>
          <w:numId w:val="25"/>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Primary packaging: sterile, sealed glass vials.</w:t>
      </w:r>
    </w:p>
    <w:p w14:paraId="65705141" w14:textId="77777777" w:rsidR="008A35F6" w:rsidRDefault="003B4D61" w:rsidP="003B4D61">
      <w:pPr>
        <w:pStyle w:val="ListParagraph"/>
        <w:numPr>
          <w:ilvl w:val="0"/>
          <w:numId w:val="25"/>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Secondary packaging: labelled cartons with clear identification.</w:t>
      </w:r>
    </w:p>
    <w:p w14:paraId="0563AC65" w14:textId="3AEE5CF1" w:rsidR="003B4D61" w:rsidRPr="008A35F6" w:rsidRDefault="003B4D61" w:rsidP="003B4D61">
      <w:pPr>
        <w:pStyle w:val="ListParagraph"/>
        <w:numPr>
          <w:ilvl w:val="0"/>
          <w:numId w:val="25"/>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Tertiary packaging: insulated shipping containers capable of maintaining required temperatures.</w:t>
      </w:r>
    </w:p>
    <w:p w14:paraId="5BD95696" w14:textId="77777777" w:rsidR="003B4D61" w:rsidRPr="008A35F6" w:rsidRDefault="003B4D61" w:rsidP="003B4D61">
      <w:p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5.2 Labelling</w:t>
      </w:r>
    </w:p>
    <w:p w14:paraId="12EDD6F3"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Each vial and carton shall clearly indicate:</w:t>
      </w:r>
    </w:p>
    <w:p w14:paraId="179B2166"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Product name and strain</w:t>
      </w:r>
    </w:p>
    <w:p w14:paraId="0CC41B99"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Batch number</w:t>
      </w:r>
    </w:p>
    <w:p w14:paraId="4922432A"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Manufacturing and expiry dates</w:t>
      </w:r>
    </w:p>
    <w:p w14:paraId="1A3F7E25"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Storage conditions</w:t>
      </w:r>
    </w:p>
    <w:p w14:paraId="681B62EC"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Number of doses per vial</w:t>
      </w:r>
    </w:p>
    <w:p w14:paraId="3B8E1A6A" w14:textId="670FE6F0" w:rsidR="003B4D61" w:rsidRP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Manufacturer’s name and address</w:t>
      </w:r>
    </w:p>
    <w:p w14:paraId="66DA9498" w14:textId="77777777" w:rsidR="008A35F6" w:rsidRPr="0035431B" w:rsidRDefault="008A35F6" w:rsidP="003B4D61">
      <w:pPr>
        <w:jc w:val="both"/>
        <w:rPr>
          <w:rFonts w:ascii="Times New Roman" w:hAnsi="Times New Roman" w:cs="Times New Roman"/>
          <w:bCs/>
          <w:i/>
          <w:sz w:val="2"/>
          <w:szCs w:val="2"/>
          <w:u w:val="single"/>
          <w:lang w:val="en-US"/>
        </w:rPr>
      </w:pPr>
    </w:p>
    <w:p w14:paraId="55983AA2" w14:textId="4A4C2956" w:rsidR="003B4D61" w:rsidRPr="008A35F6" w:rsidRDefault="003B4D61" w:rsidP="003B4D61">
      <w:p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5.3 Cold Chain Compliance</w:t>
      </w:r>
    </w:p>
    <w:p w14:paraId="066A1319" w14:textId="77777777" w:rsidR="008A35F6" w:rsidRDefault="003B4D61" w:rsidP="003B4D61">
      <w:pPr>
        <w:pStyle w:val="ListParagraph"/>
        <w:numPr>
          <w:ilvl w:val="0"/>
          <w:numId w:val="2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Vaccine shall be transported and delivered under validated cold-chain conditions.</w:t>
      </w:r>
    </w:p>
    <w:p w14:paraId="4AF0EF21" w14:textId="77777777" w:rsidR="008A35F6" w:rsidRDefault="003B4D61" w:rsidP="003B4D61">
      <w:pPr>
        <w:pStyle w:val="ListParagraph"/>
        <w:numPr>
          <w:ilvl w:val="0"/>
          <w:numId w:val="2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Each shipment shall include calibrated temperature monitoring devices.</w:t>
      </w:r>
    </w:p>
    <w:p w14:paraId="629A0C97" w14:textId="278F9918" w:rsidR="003B4D61" w:rsidRPr="008A35F6" w:rsidRDefault="003B4D61" w:rsidP="003B4D61">
      <w:pPr>
        <w:pStyle w:val="ListParagraph"/>
        <w:numPr>
          <w:ilvl w:val="0"/>
          <w:numId w:val="2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Temperature records shall be submitted upon delivery.</w:t>
      </w:r>
    </w:p>
    <w:p w14:paraId="5849160E" w14:textId="04AC49CE" w:rsidR="003B4D61" w:rsidRPr="008A35F6" w:rsidRDefault="0035431B" w:rsidP="003B4D61">
      <w:pPr>
        <w:jc w:val="both"/>
        <w:rPr>
          <w:rFonts w:ascii="Times New Roman" w:hAnsi="Times New Roman" w:cs="Times New Roman"/>
          <w:b/>
          <w:bCs/>
          <w:sz w:val="24"/>
          <w:szCs w:val="24"/>
          <w:lang w:val="en-US"/>
        </w:rPr>
      </w:pPr>
      <w:r w:rsidRPr="0035431B">
        <w:rPr>
          <w:rFonts w:ascii="Times New Roman" w:hAnsi="Times New Roman" w:cs="Times New Roman"/>
          <w:b/>
          <w:bCs/>
          <w:sz w:val="6"/>
          <w:szCs w:val="6"/>
          <w:lang w:val="en-US"/>
        </w:rPr>
        <w:br/>
      </w:r>
      <w:r w:rsidR="003B4D61" w:rsidRPr="008A35F6">
        <w:rPr>
          <w:rFonts w:ascii="Times New Roman" w:hAnsi="Times New Roman" w:cs="Times New Roman"/>
          <w:b/>
          <w:bCs/>
          <w:sz w:val="24"/>
          <w:szCs w:val="24"/>
          <w:lang w:val="en-US"/>
        </w:rPr>
        <w:t>6. Delivery and Logistics</w:t>
      </w:r>
    </w:p>
    <w:p w14:paraId="0792AE71" w14:textId="77777777" w:rsidR="008A35F6" w:rsidRDefault="003B4D61" w:rsidP="003B4D61">
      <w:pPr>
        <w:pStyle w:val="ListParagraph"/>
        <w:numPr>
          <w:ilvl w:val="0"/>
          <w:numId w:val="2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Delivery shall be made to the location(s) specified in the ITB.</w:t>
      </w:r>
    </w:p>
    <w:p w14:paraId="2A34E544" w14:textId="77777777" w:rsidR="008A35F6" w:rsidRDefault="003B4D61" w:rsidP="003B4D61">
      <w:pPr>
        <w:pStyle w:val="ListParagraph"/>
        <w:numPr>
          <w:ilvl w:val="0"/>
          <w:numId w:val="2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bidder shall indicate lead time from purchase order to delivery.</w:t>
      </w:r>
    </w:p>
    <w:p w14:paraId="294F393E" w14:textId="68B96983" w:rsidR="003B4D61" w:rsidRDefault="003B4D61" w:rsidP="003B4D61">
      <w:pPr>
        <w:pStyle w:val="ListParagraph"/>
        <w:numPr>
          <w:ilvl w:val="0"/>
          <w:numId w:val="2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Transport insurance covering loss or damage shall be included.</w:t>
      </w:r>
    </w:p>
    <w:p w14:paraId="44647983" w14:textId="77777777" w:rsidR="0035431B" w:rsidRPr="0035431B" w:rsidRDefault="0035431B" w:rsidP="003B4D61">
      <w:pPr>
        <w:jc w:val="both"/>
        <w:rPr>
          <w:rFonts w:ascii="Times New Roman" w:hAnsi="Times New Roman" w:cs="Times New Roman"/>
          <w:b/>
          <w:bCs/>
          <w:sz w:val="6"/>
          <w:szCs w:val="6"/>
          <w:lang w:val="en-US"/>
        </w:rPr>
      </w:pPr>
    </w:p>
    <w:p w14:paraId="2CC9CD59" w14:textId="60980E2B"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7. Ancillary Supplies (If Required)</w:t>
      </w:r>
    </w:p>
    <w:p w14:paraId="54D7A93F"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Where specified in the ITB, the bidder may be required to supply:</w:t>
      </w:r>
    </w:p>
    <w:p w14:paraId="5827B7C2" w14:textId="77777777" w:rsidR="008A35F6" w:rsidRDefault="003B4D61" w:rsidP="003B4D61">
      <w:pPr>
        <w:pStyle w:val="ListParagraph"/>
        <w:numPr>
          <w:ilvl w:val="0"/>
          <w:numId w:val="2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lastRenderedPageBreak/>
        <w:t>Matching diluent vials</w:t>
      </w:r>
    </w:p>
    <w:p w14:paraId="7100EAF9" w14:textId="77777777" w:rsidR="008A35F6" w:rsidRDefault="003B4D61" w:rsidP="003B4D61">
      <w:pPr>
        <w:pStyle w:val="ListParagraph"/>
        <w:numPr>
          <w:ilvl w:val="0"/>
          <w:numId w:val="2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Temperature data loggers</w:t>
      </w:r>
    </w:p>
    <w:p w14:paraId="38DED762" w14:textId="77777777" w:rsidR="008A35F6" w:rsidRDefault="003B4D61" w:rsidP="003B4D61">
      <w:pPr>
        <w:pStyle w:val="ListParagraph"/>
        <w:numPr>
          <w:ilvl w:val="0"/>
          <w:numId w:val="2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Cold boxes and ice packs</w:t>
      </w:r>
    </w:p>
    <w:p w14:paraId="0B9CB6BC" w14:textId="77EF7816" w:rsidR="003B4D61" w:rsidRPr="008A35F6" w:rsidRDefault="003B4D61" w:rsidP="003B4D61">
      <w:pPr>
        <w:pStyle w:val="ListParagraph"/>
        <w:numPr>
          <w:ilvl w:val="0"/>
          <w:numId w:val="2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Vaccine handling and administration instructions</w:t>
      </w:r>
    </w:p>
    <w:p w14:paraId="14096B16" w14:textId="77777777" w:rsidR="0035431B" w:rsidRPr="0035431B" w:rsidRDefault="008A35F6" w:rsidP="003B4D61">
      <w:pPr>
        <w:jc w:val="both"/>
        <w:rPr>
          <w:rFonts w:ascii="Times New Roman" w:hAnsi="Times New Roman" w:cs="Times New Roman"/>
          <w:b/>
          <w:bCs/>
          <w:sz w:val="6"/>
          <w:szCs w:val="6"/>
          <w:lang w:val="en-US"/>
        </w:rPr>
      </w:pPr>
      <w:r w:rsidRPr="008A35F6">
        <w:rPr>
          <w:rFonts w:ascii="Times New Roman" w:hAnsi="Times New Roman" w:cs="Times New Roman"/>
          <w:b/>
          <w:bCs/>
          <w:sz w:val="8"/>
          <w:szCs w:val="8"/>
          <w:lang w:val="en-US"/>
        </w:rPr>
        <w:br/>
      </w:r>
    </w:p>
    <w:p w14:paraId="23E56DD9" w14:textId="38EDC0C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8. Evaluation of Technical Offers</w:t>
      </w:r>
    </w:p>
    <w:p w14:paraId="33B3D175"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Technical evaluation shall be conducted on a pass/fail basis against the mandatory requirements in this Technical Specification. Only technically compliant bids shall proceed to financial evaluation.</w:t>
      </w:r>
    </w:p>
    <w:p w14:paraId="1477551E"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Key evaluation areas include:</w:t>
      </w:r>
    </w:p>
    <w:p w14:paraId="3E517357" w14:textId="77777777" w:rsidR="008A35F6" w:rsidRDefault="003B4D61" w:rsidP="003B4D61">
      <w:pPr>
        <w:pStyle w:val="ListParagraph"/>
        <w:numPr>
          <w:ilvl w:val="0"/>
          <w:numId w:val="3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Compliance with vaccine specifications</w:t>
      </w:r>
    </w:p>
    <w:p w14:paraId="5B549877" w14:textId="77777777" w:rsidR="008A35F6" w:rsidRDefault="003B4D61" w:rsidP="003B4D61">
      <w:pPr>
        <w:pStyle w:val="ListParagraph"/>
        <w:numPr>
          <w:ilvl w:val="0"/>
          <w:numId w:val="3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AU-PANVAC certification and GMP compliance</w:t>
      </w:r>
    </w:p>
    <w:p w14:paraId="432DC881" w14:textId="77777777" w:rsidR="008A35F6" w:rsidRDefault="003B4D61" w:rsidP="003B4D61">
      <w:pPr>
        <w:pStyle w:val="ListParagraph"/>
        <w:numPr>
          <w:ilvl w:val="0"/>
          <w:numId w:val="3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Adequacy of quality and stability documentation</w:t>
      </w:r>
    </w:p>
    <w:p w14:paraId="2C0944F5" w14:textId="4D7957E5" w:rsidR="003B4D61" w:rsidRPr="008A35F6" w:rsidRDefault="003B4D61" w:rsidP="003B4D61">
      <w:pPr>
        <w:pStyle w:val="ListParagraph"/>
        <w:numPr>
          <w:ilvl w:val="0"/>
          <w:numId w:val="3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Cold chain and logistics arrangements</w:t>
      </w:r>
    </w:p>
    <w:p w14:paraId="5593C319" w14:textId="77777777" w:rsidR="0035431B" w:rsidRPr="0035431B" w:rsidRDefault="0035431B" w:rsidP="003B4D61">
      <w:pPr>
        <w:jc w:val="both"/>
        <w:rPr>
          <w:rFonts w:ascii="Times New Roman" w:hAnsi="Times New Roman" w:cs="Times New Roman"/>
          <w:b/>
          <w:bCs/>
          <w:sz w:val="6"/>
          <w:szCs w:val="6"/>
          <w:lang w:val="en-US"/>
        </w:rPr>
      </w:pPr>
      <w:r w:rsidRPr="0035431B">
        <w:rPr>
          <w:rFonts w:ascii="Times New Roman" w:hAnsi="Times New Roman" w:cs="Times New Roman"/>
          <w:b/>
          <w:bCs/>
          <w:sz w:val="8"/>
          <w:szCs w:val="8"/>
          <w:lang w:val="en-US"/>
        </w:rPr>
        <w:br/>
      </w:r>
    </w:p>
    <w:p w14:paraId="79E713BB" w14:textId="485DE7D5"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9. Warranty and Replacement</w:t>
      </w:r>
    </w:p>
    <w:p w14:paraId="7663BAA5" w14:textId="77777777" w:rsidR="0035431B" w:rsidRDefault="003B4D61" w:rsidP="003B4D61">
      <w:pPr>
        <w:pStyle w:val="ListParagraph"/>
        <w:numPr>
          <w:ilvl w:val="0"/>
          <w:numId w:val="31"/>
        </w:numPr>
        <w:jc w:val="both"/>
        <w:rPr>
          <w:rFonts w:ascii="Times New Roman" w:hAnsi="Times New Roman" w:cs="Times New Roman"/>
          <w:sz w:val="24"/>
          <w:szCs w:val="24"/>
          <w:lang w:val="en-US"/>
        </w:rPr>
      </w:pPr>
      <w:r w:rsidRPr="0035431B">
        <w:rPr>
          <w:rFonts w:ascii="Times New Roman" w:hAnsi="Times New Roman" w:cs="Times New Roman"/>
          <w:sz w:val="24"/>
          <w:szCs w:val="24"/>
          <w:lang w:val="en-US"/>
        </w:rPr>
        <w:t>The supplier shall replace, at no cost, any vaccine batch found to be defective or non-compliant within the warranty period.</w:t>
      </w:r>
    </w:p>
    <w:p w14:paraId="0994C905" w14:textId="788A8D82" w:rsidR="003B4D61" w:rsidRPr="0035431B" w:rsidRDefault="003B4D61" w:rsidP="003B4D61">
      <w:pPr>
        <w:pStyle w:val="ListParagraph"/>
        <w:numPr>
          <w:ilvl w:val="0"/>
          <w:numId w:val="31"/>
        </w:numPr>
        <w:jc w:val="both"/>
        <w:rPr>
          <w:rFonts w:ascii="Times New Roman" w:hAnsi="Times New Roman" w:cs="Times New Roman"/>
          <w:sz w:val="24"/>
          <w:szCs w:val="24"/>
          <w:lang w:val="en-US"/>
        </w:rPr>
      </w:pPr>
      <w:r w:rsidRPr="0035431B">
        <w:rPr>
          <w:rFonts w:ascii="Times New Roman" w:hAnsi="Times New Roman" w:cs="Times New Roman"/>
          <w:sz w:val="24"/>
          <w:szCs w:val="24"/>
          <w:lang w:val="en-US"/>
        </w:rPr>
        <w:t>Any cold-chain failure attributable to the supplier shall result in replacement of affected vaccines.</w:t>
      </w:r>
    </w:p>
    <w:p w14:paraId="45742DB3" w14:textId="580D664E" w:rsidR="003B4D61" w:rsidRPr="0035431B" w:rsidRDefault="0035431B" w:rsidP="003B4D61">
      <w:pPr>
        <w:jc w:val="both"/>
        <w:rPr>
          <w:rFonts w:ascii="Times New Roman" w:hAnsi="Times New Roman" w:cs="Times New Roman"/>
          <w:b/>
          <w:bCs/>
          <w:sz w:val="24"/>
          <w:szCs w:val="24"/>
          <w:lang w:val="en-US"/>
        </w:rPr>
      </w:pPr>
      <w:r w:rsidRPr="0035431B">
        <w:rPr>
          <w:rFonts w:ascii="Times New Roman" w:hAnsi="Times New Roman" w:cs="Times New Roman"/>
          <w:b/>
          <w:bCs/>
          <w:sz w:val="10"/>
          <w:szCs w:val="10"/>
          <w:lang w:val="en-US"/>
        </w:rPr>
        <w:br/>
      </w:r>
      <w:r w:rsidR="003B4D61" w:rsidRPr="0035431B">
        <w:rPr>
          <w:rFonts w:ascii="Times New Roman" w:hAnsi="Times New Roman" w:cs="Times New Roman"/>
          <w:b/>
          <w:bCs/>
          <w:sz w:val="24"/>
          <w:szCs w:val="24"/>
          <w:lang w:val="en-US"/>
        </w:rPr>
        <w:t>10. AU-PANVAC and WOAH Compliance Justification</w:t>
      </w:r>
    </w:p>
    <w:p w14:paraId="150A0771"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This procurement adopts AU-PANVAC certification and WOAH-</w:t>
      </w:r>
      <w:proofErr w:type="spellStart"/>
      <w:r w:rsidRPr="008A35F6">
        <w:rPr>
          <w:rFonts w:ascii="Times New Roman" w:hAnsi="Times New Roman" w:cs="Times New Roman"/>
          <w:sz w:val="24"/>
          <w:szCs w:val="24"/>
          <w:lang w:val="en-US"/>
        </w:rPr>
        <w:t>recognised</w:t>
      </w:r>
      <w:proofErr w:type="spellEnd"/>
      <w:r w:rsidRPr="008A35F6">
        <w:rPr>
          <w:rFonts w:ascii="Times New Roman" w:hAnsi="Times New Roman" w:cs="Times New Roman"/>
          <w:sz w:val="24"/>
          <w:szCs w:val="24"/>
          <w:lang w:val="en-US"/>
        </w:rPr>
        <w:t xml:space="preserve"> standards as core eligibility criteria to mitigate technical, operational, and fiduciary risks associated with vaccine procurement under donor-funded </w:t>
      </w:r>
      <w:proofErr w:type="spellStart"/>
      <w:r w:rsidRPr="008A35F6">
        <w:rPr>
          <w:rFonts w:ascii="Times New Roman" w:hAnsi="Times New Roman" w:cs="Times New Roman"/>
          <w:sz w:val="24"/>
          <w:szCs w:val="24"/>
          <w:lang w:val="en-US"/>
        </w:rPr>
        <w:t>programmes</w:t>
      </w:r>
      <w:proofErr w:type="spellEnd"/>
      <w:r w:rsidRPr="008A35F6">
        <w:rPr>
          <w:rFonts w:ascii="Times New Roman" w:hAnsi="Times New Roman" w:cs="Times New Roman"/>
          <w:sz w:val="24"/>
          <w:szCs w:val="24"/>
          <w:lang w:val="en-US"/>
        </w:rPr>
        <w:t>.</w:t>
      </w:r>
    </w:p>
    <w:p w14:paraId="3CCC449B"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AU-PANVAC serves as the African Union’s </w:t>
      </w:r>
      <w:proofErr w:type="spellStart"/>
      <w:r w:rsidRPr="008A35F6">
        <w:rPr>
          <w:rFonts w:ascii="Times New Roman" w:hAnsi="Times New Roman" w:cs="Times New Roman"/>
          <w:sz w:val="24"/>
          <w:szCs w:val="24"/>
          <w:lang w:val="en-US"/>
        </w:rPr>
        <w:t>specialised</w:t>
      </w:r>
      <w:proofErr w:type="spellEnd"/>
      <w:r w:rsidRPr="008A35F6">
        <w:rPr>
          <w:rFonts w:ascii="Times New Roman" w:hAnsi="Times New Roman" w:cs="Times New Roman"/>
          <w:sz w:val="24"/>
          <w:szCs w:val="24"/>
          <w:lang w:val="en-US"/>
        </w:rPr>
        <w:t xml:space="preserve"> reference </w:t>
      </w:r>
      <w:proofErr w:type="spellStart"/>
      <w:r w:rsidRPr="008A35F6">
        <w:rPr>
          <w:rFonts w:ascii="Times New Roman" w:hAnsi="Times New Roman" w:cs="Times New Roman"/>
          <w:sz w:val="24"/>
          <w:szCs w:val="24"/>
          <w:lang w:val="en-US"/>
        </w:rPr>
        <w:t>centre</w:t>
      </w:r>
      <w:proofErr w:type="spellEnd"/>
      <w:r w:rsidRPr="008A35F6">
        <w:rPr>
          <w:rFonts w:ascii="Times New Roman" w:hAnsi="Times New Roman" w:cs="Times New Roman"/>
          <w:sz w:val="24"/>
          <w:szCs w:val="24"/>
          <w:lang w:val="en-US"/>
        </w:rPr>
        <w:t xml:space="preserve"> for the evaluation and certification of veterinary vaccines, providing independent verification of vaccine quality, safety, and potency. Requiring AU-PANVAC batch certification ensures </w:t>
      </w:r>
      <w:proofErr w:type="spellStart"/>
      <w:r w:rsidRPr="008A35F6">
        <w:rPr>
          <w:rFonts w:ascii="Times New Roman" w:hAnsi="Times New Roman" w:cs="Times New Roman"/>
          <w:sz w:val="24"/>
          <w:szCs w:val="24"/>
          <w:lang w:val="en-US"/>
        </w:rPr>
        <w:t>harmonisation</w:t>
      </w:r>
      <w:proofErr w:type="spellEnd"/>
      <w:r w:rsidRPr="008A35F6">
        <w:rPr>
          <w:rFonts w:ascii="Times New Roman" w:hAnsi="Times New Roman" w:cs="Times New Roman"/>
          <w:sz w:val="24"/>
          <w:szCs w:val="24"/>
          <w:lang w:val="en-US"/>
        </w:rPr>
        <w:t xml:space="preserve"> across African Union Member States and reduces the risk of sub-standard or ineffective vaccines entering national vaccination campaigns.</w:t>
      </w:r>
    </w:p>
    <w:p w14:paraId="0370BDE3"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Alignment with WOAH standards further ensures that procured vaccines are consistent with internationally accepted norms for veterinary biologicals, supporting transparency, mutual recognition, and regional disease control efforts. Together, these requirements are consistent with World Bank, AfDB, and EU procurement principles, particularly those related to quality assurance, value for money, and sustainability of project outcomes.</w:t>
      </w:r>
    </w:p>
    <w:p w14:paraId="5BD115B0" w14:textId="6FEDF76C" w:rsidR="003B4D61" w:rsidRPr="0035431B" w:rsidRDefault="0035431B" w:rsidP="003B4D61">
      <w:pPr>
        <w:jc w:val="both"/>
        <w:rPr>
          <w:rFonts w:ascii="Times New Roman" w:hAnsi="Times New Roman" w:cs="Times New Roman"/>
          <w:b/>
          <w:bCs/>
          <w:sz w:val="24"/>
          <w:szCs w:val="24"/>
          <w:lang w:val="en-US"/>
        </w:rPr>
      </w:pPr>
      <w:r w:rsidRPr="0035431B">
        <w:rPr>
          <w:rFonts w:ascii="Times New Roman" w:hAnsi="Times New Roman" w:cs="Times New Roman"/>
          <w:b/>
          <w:bCs/>
          <w:sz w:val="10"/>
          <w:szCs w:val="10"/>
          <w:lang w:val="en-US"/>
        </w:rPr>
        <w:br/>
      </w:r>
      <w:r w:rsidR="003B4D61" w:rsidRPr="0035431B">
        <w:rPr>
          <w:rFonts w:ascii="Times New Roman" w:hAnsi="Times New Roman" w:cs="Times New Roman"/>
          <w:b/>
          <w:bCs/>
          <w:sz w:val="24"/>
          <w:szCs w:val="24"/>
          <w:lang w:val="en-US"/>
        </w:rPr>
        <w:t>11. Acceptance</w:t>
      </w:r>
    </w:p>
    <w:p w14:paraId="5D0AD7D9" w14:textId="6AFC470C" w:rsidR="004A5CD4" w:rsidRPr="0035431B"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By submitting a bid, the bidder confirms full compliance with the requirements set out in this Technical Specification and acknowledges that non-compliance with mandatory AU-PANVAC, WOAH, and GMP requirements may result in disqualification.</w:t>
      </w:r>
    </w:p>
    <w:sectPr w:rsidR="004A5CD4" w:rsidRPr="00354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0D7"/>
    <w:multiLevelType w:val="multilevel"/>
    <w:tmpl w:val="22C2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71A6"/>
    <w:multiLevelType w:val="multilevel"/>
    <w:tmpl w:val="A00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02711"/>
    <w:multiLevelType w:val="hybridMultilevel"/>
    <w:tmpl w:val="07602E82"/>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1C25FE6"/>
    <w:multiLevelType w:val="multilevel"/>
    <w:tmpl w:val="8E1C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169C1"/>
    <w:multiLevelType w:val="multilevel"/>
    <w:tmpl w:val="D21E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1544D"/>
    <w:multiLevelType w:val="multilevel"/>
    <w:tmpl w:val="CE2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A08A4"/>
    <w:multiLevelType w:val="multilevel"/>
    <w:tmpl w:val="6AE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220AD"/>
    <w:multiLevelType w:val="hybridMultilevel"/>
    <w:tmpl w:val="ACF0F36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C4D6386"/>
    <w:multiLevelType w:val="hybridMultilevel"/>
    <w:tmpl w:val="A162BBC6"/>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CB7A4E"/>
    <w:multiLevelType w:val="hybridMultilevel"/>
    <w:tmpl w:val="CECA9732"/>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57B294D"/>
    <w:multiLevelType w:val="multilevel"/>
    <w:tmpl w:val="75AE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90E7A"/>
    <w:multiLevelType w:val="multilevel"/>
    <w:tmpl w:val="4258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E1391"/>
    <w:multiLevelType w:val="multilevel"/>
    <w:tmpl w:val="871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A2FCB"/>
    <w:multiLevelType w:val="hybridMultilevel"/>
    <w:tmpl w:val="89E0F5A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1762C75"/>
    <w:multiLevelType w:val="hybridMultilevel"/>
    <w:tmpl w:val="6E3A00C6"/>
    <w:lvl w:ilvl="0" w:tplc="1000001B">
      <w:start w:val="1"/>
      <w:numFmt w:val="lowerRoman"/>
      <w:lvlText w:val="%1."/>
      <w:lvlJc w:val="righ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75D2A81"/>
    <w:multiLevelType w:val="multilevel"/>
    <w:tmpl w:val="849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D3EE4"/>
    <w:multiLevelType w:val="hybridMultilevel"/>
    <w:tmpl w:val="B5609D9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C29064E"/>
    <w:multiLevelType w:val="multilevel"/>
    <w:tmpl w:val="1EFA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C035B"/>
    <w:multiLevelType w:val="multilevel"/>
    <w:tmpl w:val="CD0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40308"/>
    <w:multiLevelType w:val="hybridMultilevel"/>
    <w:tmpl w:val="0B089146"/>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33614D1"/>
    <w:multiLevelType w:val="hybridMultilevel"/>
    <w:tmpl w:val="D88AA4F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533D1B6D"/>
    <w:multiLevelType w:val="hybridMultilevel"/>
    <w:tmpl w:val="9A38D15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16103BB"/>
    <w:multiLevelType w:val="hybridMultilevel"/>
    <w:tmpl w:val="B5609D9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80F4210"/>
    <w:multiLevelType w:val="multilevel"/>
    <w:tmpl w:val="38488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8B407B"/>
    <w:multiLevelType w:val="hybridMultilevel"/>
    <w:tmpl w:val="C9520218"/>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5200DAA"/>
    <w:multiLevelType w:val="multilevel"/>
    <w:tmpl w:val="D7B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F09A7"/>
    <w:multiLevelType w:val="multilevel"/>
    <w:tmpl w:val="168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744FD"/>
    <w:multiLevelType w:val="hybridMultilevel"/>
    <w:tmpl w:val="DDC6A346"/>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799B7B92"/>
    <w:multiLevelType w:val="hybridMultilevel"/>
    <w:tmpl w:val="C718820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AEC1013"/>
    <w:multiLevelType w:val="hybridMultilevel"/>
    <w:tmpl w:val="D45669A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DAD3800"/>
    <w:multiLevelType w:val="hybridMultilevel"/>
    <w:tmpl w:val="26700DE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5"/>
  </w:num>
  <w:num w:numId="2">
    <w:abstractNumId w:val="18"/>
  </w:num>
  <w:num w:numId="3">
    <w:abstractNumId w:val="15"/>
  </w:num>
  <w:num w:numId="4">
    <w:abstractNumId w:val="12"/>
  </w:num>
  <w:num w:numId="5">
    <w:abstractNumId w:val="25"/>
  </w:num>
  <w:num w:numId="6">
    <w:abstractNumId w:val="17"/>
  </w:num>
  <w:num w:numId="7">
    <w:abstractNumId w:val="11"/>
  </w:num>
  <w:num w:numId="8">
    <w:abstractNumId w:val="23"/>
  </w:num>
  <w:num w:numId="9">
    <w:abstractNumId w:val="0"/>
  </w:num>
  <w:num w:numId="10">
    <w:abstractNumId w:val="4"/>
  </w:num>
  <w:num w:numId="11">
    <w:abstractNumId w:val="6"/>
  </w:num>
  <w:num w:numId="12">
    <w:abstractNumId w:val="1"/>
  </w:num>
  <w:num w:numId="13">
    <w:abstractNumId w:val="26"/>
  </w:num>
  <w:num w:numId="14">
    <w:abstractNumId w:val="3"/>
  </w:num>
  <w:num w:numId="15">
    <w:abstractNumId w:val="10"/>
  </w:num>
  <w:num w:numId="16">
    <w:abstractNumId w:val="14"/>
  </w:num>
  <w:num w:numId="17">
    <w:abstractNumId w:val="29"/>
  </w:num>
  <w:num w:numId="18">
    <w:abstractNumId w:val="19"/>
  </w:num>
  <w:num w:numId="19">
    <w:abstractNumId w:val="28"/>
  </w:num>
  <w:num w:numId="20">
    <w:abstractNumId w:val="2"/>
  </w:num>
  <w:num w:numId="21">
    <w:abstractNumId w:val="27"/>
  </w:num>
  <w:num w:numId="22">
    <w:abstractNumId w:val="24"/>
  </w:num>
  <w:num w:numId="23">
    <w:abstractNumId w:val="21"/>
  </w:num>
  <w:num w:numId="24">
    <w:abstractNumId w:val="22"/>
  </w:num>
  <w:num w:numId="25">
    <w:abstractNumId w:val="16"/>
  </w:num>
  <w:num w:numId="26">
    <w:abstractNumId w:val="8"/>
  </w:num>
  <w:num w:numId="27">
    <w:abstractNumId w:val="30"/>
  </w:num>
  <w:num w:numId="28">
    <w:abstractNumId w:val="7"/>
  </w:num>
  <w:num w:numId="29">
    <w:abstractNumId w:val="20"/>
  </w:num>
  <w:num w:numId="30">
    <w:abstractNumId w:val="1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61"/>
    <w:rsid w:val="00163CE2"/>
    <w:rsid w:val="00240CA6"/>
    <w:rsid w:val="0035431B"/>
    <w:rsid w:val="003B4D61"/>
    <w:rsid w:val="004A5CD4"/>
    <w:rsid w:val="004B32E3"/>
    <w:rsid w:val="004C4C77"/>
    <w:rsid w:val="004C5669"/>
    <w:rsid w:val="005105E8"/>
    <w:rsid w:val="008A01B5"/>
    <w:rsid w:val="008A35F6"/>
    <w:rsid w:val="00927DA7"/>
    <w:rsid w:val="0096115B"/>
    <w:rsid w:val="00986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4BDD"/>
  <w15:chartTrackingRefBased/>
  <w15:docId w15:val="{3A96480F-451A-46D8-8415-731E7489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B4D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4D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4D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4D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4D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4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4D61"/>
    <w:rPr>
      <w:b/>
      <w:bCs/>
    </w:rPr>
  </w:style>
  <w:style w:type="paragraph" w:styleId="Revision">
    <w:name w:val="Revision"/>
    <w:hidden/>
    <w:uiPriority w:val="99"/>
    <w:semiHidden/>
    <w:rsid w:val="0096115B"/>
    <w:pPr>
      <w:spacing w:after="0" w:line="240" w:lineRule="auto"/>
    </w:pPr>
  </w:style>
  <w:style w:type="paragraph" w:styleId="ListParagraph">
    <w:name w:val="List Paragraph"/>
    <w:basedOn w:val="Normal"/>
    <w:uiPriority w:val="34"/>
    <w:qFormat/>
    <w:rsid w:val="008A3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44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Adrianatus Maseke</dc:creator>
  <cp:keywords/>
  <dc:description/>
  <cp:lastModifiedBy>Ruth Lelei</cp:lastModifiedBy>
  <cp:revision>2</cp:revision>
  <dcterms:created xsi:type="dcterms:W3CDTF">2026-04-24T11:49:00Z</dcterms:created>
  <dcterms:modified xsi:type="dcterms:W3CDTF">2026-04-24T11:49:00Z</dcterms:modified>
</cp:coreProperties>
</file>